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82" w:rsidRDefault="00203919">
      <w:r>
        <w:t xml:space="preserve">Se centra en la capacidad de influir y guiar a </w:t>
      </w:r>
      <w:r w:rsidR="005E731F">
        <w:t>estudiantes,</w:t>
      </w:r>
      <w:r>
        <w:t xml:space="preserve"> docente y comunidades hacia el logro de objetivos académicos y desarrollo </w:t>
      </w:r>
      <w:r w:rsidR="005E731F">
        <w:t>integral. Es</w:t>
      </w:r>
      <w:r>
        <w:t xml:space="preserve"> fundamental en el contexto </w:t>
      </w:r>
      <w:proofErr w:type="gramStart"/>
      <w:r>
        <w:t>educativo ,</w:t>
      </w:r>
      <w:proofErr w:type="gramEnd"/>
      <w:r>
        <w:t xml:space="preserve"> ya que no solo se trata de gestiona recursos y procesos , si no de inspirar a todos los miembros de la comunidad escolar a alcanzar su máxima potencial , el líder educativo debe adaptarse a un entorno cambiante , caracterizado por la </w:t>
      </w:r>
      <w:r w:rsidR="005E731F">
        <w:t>diversidad , la inclusión u el uso de tecnología emergente . En este contexto , el liderazgo educativo no solo impacta la practica docente y el rendimiento estudiantil , sino que también promueve un ambiente de aprendizaje positivo y propicio  para el desarrollo social y emocional de los alumnos.</w:t>
      </w:r>
      <w:bookmarkStart w:id="0" w:name="_GoBack"/>
      <w:bookmarkEnd w:id="0"/>
    </w:p>
    <w:sectPr w:rsidR="00AC6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19"/>
    <w:rsid w:val="00203919"/>
    <w:rsid w:val="005E731F"/>
    <w:rsid w:val="00AC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9023"/>
  <w15:chartTrackingRefBased/>
  <w15:docId w15:val="{5FDCD8C8-4A36-4808-B7AF-1880DAA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1</cp:revision>
  <dcterms:created xsi:type="dcterms:W3CDTF">2024-11-23T20:01:00Z</dcterms:created>
  <dcterms:modified xsi:type="dcterms:W3CDTF">2024-11-23T20:19:00Z</dcterms:modified>
</cp:coreProperties>
</file>